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6"/>
          <w:szCs w:val="36"/>
        </w:rPr>
      </w:pPr>
      <w:r>
        <w:rPr>
          <w:rFonts w:hint="eastAsia"/>
          <w:b/>
          <w:sz w:val="36"/>
          <w:szCs w:val="36"/>
        </w:rPr>
        <w:t>昆明理工大学研究生院</w:t>
      </w:r>
    </w:p>
    <w:p>
      <w:pPr>
        <w:spacing w:after="312" w:afterLines="100" w:line="360" w:lineRule="auto"/>
        <w:jc w:val="center"/>
        <w:rPr>
          <w:b/>
          <w:sz w:val="36"/>
          <w:szCs w:val="36"/>
        </w:rPr>
      </w:pPr>
      <w:r>
        <w:rPr>
          <w:rFonts w:hint="eastAsia"/>
          <w:b/>
          <w:sz w:val="36"/>
          <w:szCs w:val="36"/>
        </w:rPr>
        <w:t>关于评选2018年优秀毕业研究生的通知</w:t>
      </w:r>
    </w:p>
    <w:p>
      <w:pPr>
        <w:keepNext w:val="0"/>
        <w:keepLines w:val="0"/>
        <w:pageBreakBefore w:val="0"/>
        <w:kinsoku/>
        <w:wordWrap/>
        <w:overflowPunct/>
        <w:topLinePunct w:val="0"/>
        <w:autoSpaceDE/>
        <w:autoSpaceDN/>
        <w:bidi w:val="0"/>
        <w:adjustRightInd/>
        <w:snapToGrid/>
        <w:spacing w:line="500" w:lineRule="exact"/>
        <w:ind w:left="0" w:leftChars="0" w:right="0" w:rightChars="0"/>
        <w:jc w:val="both"/>
        <w:textAlignment w:val="auto"/>
        <w:rPr>
          <w:rFonts w:ascii="仿宋_GB2312" w:eastAsia="仿宋_GB2312"/>
          <w:sz w:val="28"/>
          <w:szCs w:val="28"/>
        </w:rPr>
      </w:pPr>
      <w:r>
        <w:rPr>
          <w:rFonts w:hint="eastAsia" w:ascii="仿宋_GB2312" w:eastAsia="仿宋_GB2312"/>
          <w:sz w:val="28"/>
          <w:szCs w:val="28"/>
        </w:rPr>
        <w:t>各研究生培养单位：</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0" w:firstLineChars="250"/>
        <w:jc w:val="both"/>
        <w:textAlignment w:val="auto"/>
        <w:rPr>
          <w:rFonts w:ascii="仿宋_GB2312" w:eastAsia="仿宋_GB2312"/>
          <w:sz w:val="28"/>
          <w:szCs w:val="28"/>
        </w:rPr>
      </w:pPr>
      <w:r>
        <w:rPr>
          <w:rFonts w:hint="eastAsia" w:ascii="仿宋_GB2312" w:eastAsia="仿宋_GB2312"/>
          <w:sz w:val="28"/>
          <w:szCs w:val="28"/>
        </w:rPr>
        <w:t>根据《云南省教育厅关于做好2018年优秀毕业生评选工作的通知》（云教函〔2018〕51号）的要求，结合我校2018年毕业研究生实际情况，现将省级、校级优秀毕业研究生评选有关事项通知如下：</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jc w:val="both"/>
        <w:textAlignment w:val="auto"/>
        <w:rPr>
          <w:rFonts w:ascii="仿宋_GB2312" w:eastAsia="仿宋_GB2312"/>
          <w:b/>
          <w:sz w:val="28"/>
          <w:szCs w:val="28"/>
        </w:rPr>
      </w:pPr>
      <w:r>
        <w:rPr>
          <w:rFonts w:hint="eastAsia" w:ascii="仿宋_GB2312" w:eastAsia="仿宋_GB2312"/>
          <w:b/>
          <w:sz w:val="28"/>
          <w:szCs w:val="28"/>
        </w:rPr>
        <w:t>一、优秀毕业生评选办法</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jc w:val="both"/>
        <w:textAlignment w:val="auto"/>
        <w:rPr>
          <w:rFonts w:ascii="仿宋_GB2312" w:eastAsia="仿宋_GB2312"/>
          <w:sz w:val="28"/>
          <w:szCs w:val="28"/>
        </w:rPr>
      </w:pPr>
      <w:r>
        <w:rPr>
          <w:rFonts w:hint="eastAsia" w:ascii="仿宋_GB2312" w:eastAsia="仿宋_GB2312"/>
          <w:b/>
          <w:sz w:val="28"/>
          <w:szCs w:val="28"/>
        </w:rPr>
        <w:t>1</w:t>
      </w:r>
      <w:r>
        <w:rPr>
          <w:rFonts w:hint="eastAsia" w:ascii="仿宋_GB2312" w:eastAsia="仿宋_GB2312"/>
          <w:b/>
          <w:sz w:val="28"/>
          <w:szCs w:val="28"/>
          <w:lang w:val="en-US" w:eastAsia="zh-CN"/>
        </w:rPr>
        <w:t>.</w:t>
      </w:r>
      <w:r>
        <w:rPr>
          <w:rFonts w:hint="eastAsia" w:ascii="仿宋_GB2312" w:eastAsia="仿宋_GB2312"/>
          <w:b/>
          <w:sz w:val="28"/>
          <w:szCs w:val="28"/>
        </w:rPr>
        <w:t>评选对象</w:t>
      </w:r>
      <w:r>
        <w:rPr>
          <w:rFonts w:hint="eastAsia" w:ascii="仿宋_GB2312" w:eastAsia="仿宋_GB2312"/>
          <w:sz w:val="28"/>
          <w:szCs w:val="28"/>
        </w:rPr>
        <w:t>：国家计划内招收的</w:t>
      </w:r>
      <w:r>
        <w:rPr>
          <w:rFonts w:hint="eastAsia" w:ascii="仿宋_GB2312" w:eastAsia="仿宋_GB2312"/>
          <w:sz w:val="28"/>
          <w:szCs w:val="28"/>
          <w:lang w:val="en-US" w:eastAsia="zh-CN"/>
        </w:rPr>
        <w:t>全日制</w:t>
      </w:r>
      <w:r>
        <w:rPr>
          <w:rFonts w:hint="eastAsia" w:ascii="仿宋_GB2312" w:eastAsia="仿宋_GB2312"/>
          <w:sz w:val="28"/>
          <w:szCs w:val="28"/>
        </w:rPr>
        <w:t>2018届硕士和博士毕业生。</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jc w:val="both"/>
        <w:textAlignment w:val="auto"/>
        <w:rPr>
          <w:rFonts w:ascii="仿宋_GB2312" w:eastAsia="仿宋_GB2312"/>
          <w:sz w:val="28"/>
          <w:szCs w:val="28"/>
        </w:rPr>
      </w:pPr>
      <w:r>
        <w:rPr>
          <w:rFonts w:hint="eastAsia" w:ascii="仿宋_GB2312" w:eastAsia="仿宋_GB2312"/>
          <w:b/>
          <w:sz w:val="28"/>
          <w:szCs w:val="28"/>
        </w:rPr>
        <w:t>2</w:t>
      </w:r>
      <w:r>
        <w:rPr>
          <w:rFonts w:hint="eastAsia" w:ascii="仿宋_GB2312" w:eastAsia="仿宋_GB2312"/>
          <w:b/>
          <w:sz w:val="28"/>
          <w:szCs w:val="28"/>
          <w:lang w:val="en-US" w:eastAsia="zh-CN"/>
        </w:rPr>
        <w:t>.</w:t>
      </w:r>
      <w:r>
        <w:rPr>
          <w:rFonts w:hint="eastAsia" w:ascii="仿宋_GB2312" w:eastAsia="仿宋_GB2312"/>
          <w:b/>
          <w:sz w:val="28"/>
          <w:szCs w:val="28"/>
        </w:rPr>
        <w:t>评选比例</w:t>
      </w:r>
      <w:r>
        <w:rPr>
          <w:rFonts w:hint="eastAsia" w:ascii="仿宋_GB2312" w:eastAsia="仿宋_GB2312"/>
          <w:sz w:val="28"/>
          <w:szCs w:val="28"/>
        </w:rPr>
        <w:t>：以学院毕业研究生总数计，按不高于5%的比例评选省级优秀毕业生，按不高于5%的比例评选校级优秀毕业生。</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jc w:val="both"/>
        <w:textAlignment w:val="auto"/>
        <w:outlineLvl w:val="0"/>
        <w:rPr>
          <w:rFonts w:ascii="仿宋_GB2312" w:eastAsia="仿宋_GB2312"/>
          <w:sz w:val="28"/>
          <w:szCs w:val="28"/>
        </w:rPr>
      </w:pPr>
      <w:r>
        <w:rPr>
          <w:rFonts w:hint="eastAsia" w:ascii="仿宋_GB2312" w:eastAsia="仿宋_GB2312"/>
          <w:b/>
          <w:sz w:val="28"/>
          <w:szCs w:val="28"/>
        </w:rPr>
        <w:t>3</w:t>
      </w:r>
      <w:r>
        <w:rPr>
          <w:rFonts w:hint="eastAsia" w:ascii="仿宋_GB2312" w:eastAsia="仿宋_GB2312"/>
          <w:b/>
          <w:sz w:val="28"/>
          <w:szCs w:val="28"/>
          <w:lang w:val="en-US" w:eastAsia="zh-CN"/>
        </w:rPr>
        <w:t>.</w:t>
      </w:r>
      <w:r>
        <w:rPr>
          <w:rFonts w:hint="eastAsia" w:ascii="仿宋_GB2312" w:eastAsia="仿宋_GB2312"/>
          <w:b/>
          <w:sz w:val="28"/>
          <w:szCs w:val="28"/>
        </w:rPr>
        <w:t>评选条件</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0" w:firstLineChars="250"/>
        <w:jc w:val="both"/>
        <w:textAlignment w:val="auto"/>
        <w:rPr>
          <w:rFonts w:ascii="仿宋_GB2312" w:eastAsia="仿宋_GB2312"/>
          <w:sz w:val="28"/>
          <w:szCs w:val="28"/>
        </w:rPr>
      </w:pPr>
      <w:r>
        <w:rPr>
          <w:rFonts w:hint="eastAsia" w:ascii="仿宋_GB2312" w:eastAsia="仿宋_GB2312"/>
          <w:sz w:val="28"/>
          <w:szCs w:val="28"/>
        </w:rPr>
        <w:t>（1）有较强的政治思想觉悟，能够做共产主义远大理想和中国特色社会主义共同理想的坚定信仰者、社会主义荣辱观的自觉践行者、社会和谐的积极促进者。</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0" w:firstLineChars="250"/>
        <w:jc w:val="both"/>
        <w:textAlignment w:val="auto"/>
        <w:rPr>
          <w:rFonts w:ascii="仿宋_GB2312" w:eastAsia="仿宋_GB2312"/>
          <w:sz w:val="28"/>
          <w:szCs w:val="28"/>
        </w:rPr>
      </w:pPr>
      <w:r>
        <w:rPr>
          <w:rFonts w:hint="eastAsia" w:ascii="仿宋_GB2312" w:eastAsia="仿宋_GB2312"/>
          <w:sz w:val="28"/>
          <w:szCs w:val="28"/>
        </w:rPr>
        <w:t>（2）遵守国家法律、法规和学校各项规章制度，具有高尚的社会公德和较高的道德素质，在校期间未受过任何纪律处分。</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0" w:firstLineChars="250"/>
        <w:jc w:val="both"/>
        <w:textAlignment w:val="auto"/>
        <w:rPr>
          <w:rFonts w:ascii="仿宋_GB2312" w:eastAsia="仿宋_GB2312"/>
          <w:sz w:val="28"/>
          <w:szCs w:val="28"/>
        </w:rPr>
      </w:pPr>
      <w:r>
        <w:rPr>
          <w:rFonts w:hint="eastAsia" w:ascii="仿宋_GB2312" w:eastAsia="仿宋_GB2312"/>
          <w:sz w:val="28"/>
          <w:szCs w:val="28"/>
        </w:rPr>
        <w:t>（3）学习目的明确，学习勤奋努力，学习成绩优秀，热爱集体，关心同学，在学校组织的各项活动中能起模范带头作用，在学生中有较高威信。</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0" w:firstLineChars="250"/>
        <w:jc w:val="both"/>
        <w:textAlignment w:val="auto"/>
        <w:rPr>
          <w:rFonts w:ascii="仿宋_GB2312" w:eastAsia="仿宋_GB2312"/>
          <w:sz w:val="28"/>
          <w:szCs w:val="28"/>
        </w:rPr>
      </w:pPr>
      <w:r>
        <w:rPr>
          <w:rFonts w:hint="eastAsia" w:ascii="仿宋_GB2312" w:eastAsia="仿宋_GB2312"/>
          <w:sz w:val="28"/>
          <w:szCs w:val="28"/>
        </w:rPr>
        <w:t>（4）对响应国家号召，参加国家和云南省组织实施的基层就业项目，自愿到基层、边远地区和艰苦行业就业的毕业生，具有创业意识并积极开展创业实践活动的毕业生，在同等条件下优先考虑。</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562" w:firstLineChars="200"/>
        <w:jc w:val="both"/>
        <w:textAlignment w:val="auto"/>
        <w:outlineLvl w:val="0"/>
        <w:rPr>
          <w:rFonts w:ascii="仿宋_GB2312" w:eastAsia="仿宋_GB2312"/>
          <w:b/>
          <w:sz w:val="28"/>
          <w:szCs w:val="28"/>
        </w:rPr>
      </w:pPr>
      <w:r>
        <w:rPr>
          <w:rFonts w:hint="eastAsia" w:ascii="仿宋_GB2312" w:eastAsia="仿宋_GB2312"/>
          <w:b/>
          <w:sz w:val="28"/>
          <w:szCs w:val="28"/>
        </w:rPr>
        <w:t>4</w:t>
      </w:r>
      <w:r>
        <w:rPr>
          <w:rFonts w:hint="eastAsia" w:ascii="仿宋_GB2312" w:eastAsia="仿宋_GB2312"/>
          <w:b/>
          <w:sz w:val="28"/>
          <w:szCs w:val="28"/>
          <w:lang w:val="en-US" w:eastAsia="zh-CN"/>
        </w:rPr>
        <w:t>.</w:t>
      </w:r>
      <w:r>
        <w:rPr>
          <w:rFonts w:hint="eastAsia" w:ascii="仿宋_GB2312" w:eastAsia="仿宋_GB2312"/>
          <w:b/>
          <w:sz w:val="28"/>
          <w:szCs w:val="28"/>
        </w:rPr>
        <w:t>评选程序</w:t>
      </w:r>
    </w:p>
    <w:p>
      <w:pPr>
        <w:pStyle w:val="7"/>
        <w:keepNext w:val="0"/>
        <w:keepLines w:val="0"/>
        <w:pageBreakBefore w:val="0"/>
        <w:kinsoku/>
        <w:wordWrap/>
        <w:overflowPunct/>
        <w:topLinePunct w:val="0"/>
        <w:autoSpaceDE/>
        <w:autoSpaceDN/>
        <w:bidi w:val="0"/>
        <w:adjustRightInd/>
        <w:snapToGrid/>
        <w:spacing w:line="500" w:lineRule="exact"/>
        <w:ind w:left="0" w:leftChars="0" w:right="0" w:rightChars="0" w:firstLine="640"/>
        <w:jc w:val="both"/>
        <w:textAlignment w:val="auto"/>
        <w:rPr>
          <w:rFonts w:ascii="仿宋_GB2312" w:eastAsia="仿宋_GB2312"/>
          <w:sz w:val="28"/>
          <w:szCs w:val="28"/>
        </w:rPr>
      </w:pPr>
      <w:r>
        <w:rPr>
          <w:rFonts w:hint="eastAsia" w:ascii="仿宋_GB2312" w:eastAsia="仿宋_GB2312"/>
          <w:sz w:val="28"/>
          <w:szCs w:val="28"/>
        </w:rPr>
        <w:t>（一）各学院根据优秀毕业生的评选条件，在培养情况和民主推荐的基础上，按照公开、公正的原则，在规定的比例范围内等额确定初选人员，并将初选名单张榜公示，广泛听取意见，接受监督。</w:t>
      </w:r>
    </w:p>
    <w:p>
      <w:pPr>
        <w:pStyle w:val="7"/>
        <w:keepNext w:val="0"/>
        <w:keepLines w:val="0"/>
        <w:pageBreakBefore w:val="0"/>
        <w:kinsoku/>
        <w:wordWrap/>
        <w:overflowPunct/>
        <w:topLinePunct w:val="0"/>
        <w:autoSpaceDE/>
        <w:autoSpaceDN/>
        <w:bidi w:val="0"/>
        <w:adjustRightInd/>
        <w:snapToGrid/>
        <w:spacing w:line="500" w:lineRule="exact"/>
        <w:ind w:left="0" w:leftChars="0" w:right="0" w:rightChars="0" w:firstLine="640"/>
        <w:jc w:val="both"/>
        <w:textAlignment w:val="auto"/>
        <w:rPr>
          <w:rFonts w:ascii="仿宋_GB2312" w:eastAsia="仿宋_GB2312"/>
          <w:sz w:val="28"/>
          <w:szCs w:val="28"/>
        </w:rPr>
      </w:pPr>
      <w:r>
        <w:rPr>
          <w:rFonts w:hint="eastAsia" w:ascii="仿宋_GB2312" w:eastAsia="仿宋_GB2312"/>
          <w:sz w:val="28"/>
          <w:szCs w:val="28"/>
        </w:rPr>
        <w:t>（二）优秀毕业研究生初选人员确定后，各研究生培养单位要认真填写“云南省2018年普通大中专学校优秀毕业生登记表”、“昆明理工大学2018年优秀毕业生登记表”、“昆明理工大学2018年省级优秀毕业生名册”、“昆明理工大学2018年校级优秀毕业生名册”（样式见附件）。</w:t>
      </w:r>
    </w:p>
    <w:p>
      <w:pPr>
        <w:pStyle w:val="7"/>
        <w:keepNext w:val="0"/>
        <w:keepLines w:val="0"/>
        <w:pageBreakBefore w:val="0"/>
        <w:kinsoku/>
        <w:wordWrap/>
        <w:overflowPunct/>
        <w:topLinePunct w:val="0"/>
        <w:autoSpaceDE/>
        <w:autoSpaceDN/>
        <w:bidi w:val="0"/>
        <w:adjustRightInd/>
        <w:snapToGrid/>
        <w:spacing w:line="500" w:lineRule="exact"/>
        <w:ind w:left="0" w:leftChars="0" w:right="0" w:rightChars="0" w:firstLine="640"/>
        <w:jc w:val="both"/>
        <w:textAlignment w:val="auto"/>
        <w:rPr>
          <w:rFonts w:ascii="仿宋_GB2312" w:eastAsia="仿宋_GB2312"/>
          <w:sz w:val="28"/>
          <w:szCs w:val="28"/>
        </w:rPr>
      </w:pPr>
      <w:r>
        <w:rPr>
          <w:rFonts w:hint="eastAsia" w:ascii="仿宋_GB2312" w:eastAsia="仿宋_GB2312"/>
          <w:sz w:val="28"/>
          <w:szCs w:val="28"/>
        </w:rPr>
        <w:t>（三）呈贡校区研究生培养单位于2018年4月4日（周三）前将评选结果及相关纸质材料报研究生工作办公室（公教楼501），莲华校区研究生培养单位于2017年4月3日（周二）前将评选结果及相关纸质材料报研究生工作办公室（颐园121），由研究生工作办公室汇总报就业指导中心，由就业指导中心汇总报学校同意后，报省教育厅审批。请各学院将“昆明理工大学2018年省级优秀毕业生名册”、“昆明理工大学2018年校级优秀毕业生名册”（加盖学院研教办印章的纸质名册）连同“云南省2018年普通大中专学校优秀毕业生登记表”（一式二份）、“昆明理工大学2018年优秀毕业生登记表”（一式二份）等相关材料于截止日期前报研究生工作办公室，逾期不报视为自动放弃。（电子版发送至邮箱：</w:t>
      </w:r>
      <w:r>
        <w:fldChar w:fldCharType="begin"/>
      </w:r>
      <w:r>
        <w:instrText xml:space="preserve"> HYPERLINK "mailto:6015459@qq.com" </w:instrText>
      </w:r>
      <w:r>
        <w:fldChar w:fldCharType="separate"/>
      </w:r>
      <w:r>
        <w:rPr>
          <w:rFonts w:hint="eastAsia" w:ascii="仿宋_GB2312" w:eastAsia="仿宋_GB2312"/>
          <w:sz w:val="28"/>
        </w:rPr>
        <w:t>yjsydw_kmust@163.com</w:t>
      </w:r>
      <w:r>
        <w:rPr>
          <w:rFonts w:hint="eastAsia" w:ascii="仿宋_GB2312" w:eastAsia="仿宋_GB2312"/>
          <w:sz w:val="28"/>
        </w:rPr>
        <w:fldChar w:fldCharType="end"/>
      </w:r>
      <w:r>
        <w:rPr>
          <w:rFonts w:hint="eastAsia" w:ascii="仿宋_GB2312" w:eastAsia="仿宋_GB2312"/>
          <w:sz w:val="28"/>
          <w:szCs w:val="28"/>
        </w:rPr>
        <w:t>）。</w:t>
      </w:r>
    </w:p>
    <w:p>
      <w:pPr>
        <w:keepNext w:val="0"/>
        <w:keepLines w:val="0"/>
        <w:pageBreakBefore w:val="0"/>
        <w:kinsoku/>
        <w:wordWrap/>
        <w:overflowPunct/>
        <w:topLinePunct w:val="0"/>
        <w:autoSpaceDE/>
        <w:autoSpaceDN/>
        <w:bidi w:val="0"/>
        <w:adjustRightInd/>
        <w:snapToGrid/>
        <w:spacing w:line="500" w:lineRule="exact"/>
        <w:ind w:left="0" w:leftChars="0" w:right="0" w:rightChars="0" w:firstLine="703" w:firstLineChars="250"/>
        <w:jc w:val="both"/>
        <w:textAlignment w:val="auto"/>
        <w:outlineLvl w:val="0"/>
        <w:rPr>
          <w:rFonts w:ascii="仿宋_GB2312" w:eastAsia="仿宋_GB2312"/>
          <w:b/>
          <w:sz w:val="28"/>
          <w:szCs w:val="28"/>
        </w:rPr>
      </w:pPr>
      <w:r>
        <w:rPr>
          <w:rFonts w:hint="eastAsia" w:ascii="仿宋_GB2312" w:eastAsia="仿宋_GB2312"/>
          <w:b/>
          <w:sz w:val="28"/>
          <w:szCs w:val="28"/>
        </w:rPr>
        <w:t>5</w:t>
      </w:r>
      <w:r>
        <w:rPr>
          <w:rFonts w:hint="eastAsia" w:ascii="仿宋_GB2312" w:eastAsia="仿宋_GB2312"/>
          <w:b/>
          <w:sz w:val="28"/>
          <w:szCs w:val="28"/>
          <w:lang w:val="en-US" w:eastAsia="zh-CN"/>
        </w:rPr>
        <w:t>.</w:t>
      </w:r>
      <w:r>
        <w:rPr>
          <w:rFonts w:hint="eastAsia" w:ascii="仿宋_GB2312" w:eastAsia="仿宋_GB2312"/>
          <w:b/>
          <w:sz w:val="28"/>
          <w:szCs w:val="28"/>
        </w:rPr>
        <w:t>奖励</w:t>
      </w:r>
    </w:p>
    <w:p>
      <w:pPr>
        <w:pStyle w:val="7"/>
        <w:keepNext w:val="0"/>
        <w:keepLines w:val="0"/>
        <w:pageBreakBefore w:val="0"/>
        <w:kinsoku/>
        <w:wordWrap/>
        <w:overflowPunct/>
        <w:topLinePunct w:val="0"/>
        <w:autoSpaceDE/>
        <w:autoSpaceDN/>
        <w:bidi w:val="0"/>
        <w:adjustRightInd/>
        <w:snapToGrid/>
        <w:spacing w:line="500" w:lineRule="exact"/>
        <w:ind w:left="0" w:leftChars="0" w:right="0" w:rightChars="0" w:firstLine="640"/>
        <w:jc w:val="both"/>
        <w:textAlignment w:val="auto"/>
        <w:rPr>
          <w:rFonts w:ascii="仿宋_GB2312" w:eastAsia="仿宋_GB2312"/>
          <w:sz w:val="28"/>
          <w:szCs w:val="28"/>
        </w:rPr>
      </w:pPr>
      <w:r>
        <w:rPr>
          <w:rFonts w:hint="eastAsia" w:ascii="仿宋_GB2312" w:eastAsia="仿宋_GB2312"/>
          <w:sz w:val="28"/>
          <w:szCs w:val="28"/>
        </w:rPr>
        <w:t>（一）省级优秀毕业生，由省教育厅行文表彰，授予“云南省优秀毕业生”称号，颁发荣誉证书；</w:t>
      </w:r>
    </w:p>
    <w:p>
      <w:pPr>
        <w:pStyle w:val="7"/>
        <w:keepNext w:val="0"/>
        <w:keepLines w:val="0"/>
        <w:pageBreakBefore w:val="0"/>
        <w:kinsoku/>
        <w:wordWrap/>
        <w:overflowPunct/>
        <w:topLinePunct w:val="0"/>
        <w:autoSpaceDE/>
        <w:autoSpaceDN/>
        <w:bidi w:val="0"/>
        <w:adjustRightInd/>
        <w:snapToGrid/>
        <w:spacing w:line="500" w:lineRule="exact"/>
        <w:ind w:left="0" w:leftChars="0" w:right="0" w:rightChars="0" w:firstLine="640"/>
        <w:jc w:val="both"/>
        <w:textAlignment w:val="auto"/>
        <w:rPr>
          <w:rFonts w:ascii="仿宋_GB2312" w:eastAsia="仿宋_GB2312"/>
          <w:sz w:val="28"/>
          <w:szCs w:val="28"/>
        </w:rPr>
      </w:pPr>
      <w:r>
        <w:rPr>
          <w:rFonts w:hint="eastAsia" w:ascii="仿宋_GB2312" w:eastAsia="仿宋_GB2312"/>
          <w:sz w:val="28"/>
          <w:szCs w:val="28"/>
        </w:rPr>
        <w:t>（二）校级优秀毕业生，由学校行文表彰，授予“昆明理工大学优秀毕业生”称号，颁发荣誉证书。</w:t>
      </w:r>
    </w:p>
    <w:p>
      <w:pPr>
        <w:spacing w:line="360" w:lineRule="auto"/>
        <w:ind w:firstLine="562" w:firstLineChars="200"/>
        <w:rPr>
          <w:rFonts w:ascii="仿宋_GB2312" w:eastAsia="仿宋_GB2312"/>
          <w:b/>
          <w:sz w:val="28"/>
          <w:szCs w:val="28"/>
        </w:rPr>
      </w:pPr>
      <w:r>
        <w:rPr>
          <w:rFonts w:hint="eastAsia" w:ascii="仿宋_GB2312" w:eastAsia="仿宋_GB2312"/>
          <w:b/>
          <w:sz w:val="28"/>
          <w:szCs w:val="28"/>
        </w:rPr>
        <w:t>二、名额分配</w:t>
      </w:r>
    </w:p>
    <w:tbl>
      <w:tblPr>
        <w:tblStyle w:val="6"/>
        <w:tblW w:w="9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883"/>
        <w:gridCol w:w="2047"/>
        <w:gridCol w:w="2126"/>
        <w:gridCol w:w="1558"/>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所在校区</w:t>
            </w:r>
          </w:p>
        </w:tc>
        <w:tc>
          <w:tcPr>
            <w:tcW w:w="883"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序号</w:t>
            </w:r>
          </w:p>
        </w:tc>
        <w:tc>
          <w:tcPr>
            <w:tcW w:w="2047"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学院</w:t>
            </w:r>
          </w:p>
        </w:tc>
        <w:tc>
          <w:tcPr>
            <w:tcW w:w="2126"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毕业研究生人数（博士+硕士）</w:t>
            </w:r>
          </w:p>
        </w:tc>
        <w:tc>
          <w:tcPr>
            <w:tcW w:w="3081" w:type="dxa"/>
            <w:gridSpan w:val="2"/>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推荐名额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Merge w:val="continue"/>
            <w:vAlign w:val="center"/>
          </w:tcPr>
          <w:p>
            <w:pPr>
              <w:widowControl/>
              <w:spacing w:line="360" w:lineRule="auto"/>
              <w:jc w:val="left"/>
              <w:rPr>
                <w:rFonts w:ascii="宋体" w:hAnsi="宋体" w:cs="宋体"/>
                <w:b/>
                <w:bCs/>
                <w:kern w:val="0"/>
                <w:sz w:val="24"/>
              </w:rPr>
            </w:pPr>
          </w:p>
        </w:tc>
        <w:tc>
          <w:tcPr>
            <w:tcW w:w="2047" w:type="dxa"/>
            <w:vMerge w:val="continue"/>
            <w:vAlign w:val="center"/>
          </w:tcPr>
          <w:p>
            <w:pPr>
              <w:widowControl/>
              <w:spacing w:line="360" w:lineRule="auto"/>
              <w:jc w:val="left"/>
              <w:rPr>
                <w:rFonts w:ascii="宋体" w:hAnsi="宋体" w:cs="宋体"/>
                <w:b/>
                <w:bCs/>
                <w:kern w:val="0"/>
                <w:sz w:val="24"/>
              </w:rPr>
            </w:pPr>
          </w:p>
        </w:tc>
        <w:tc>
          <w:tcPr>
            <w:tcW w:w="2126" w:type="dxa"/>
            <w:vMerge w:val="continue"/>
            <w:vAlign w:val="center"/>
          </w:tcPr>
          <w:p>
            <w:pPr>
              <w:widowControl/>
              <w:spacing w:line="360" w:lineRule="auto"/>
              <w:jc w:val="left"/>
              <w:rPr>
                <w:rFonts w:ascii="宋体" w:hAnsi="宋体" w:cs="宋体"/>
                <w:b/>
                <w:bCs/>
                <w:kern w:val="0"/>
                <w:sz w:val="24"/>
              </w:rPr>
            </w:pPr>
          </w:p>
        </w:tc>
        <w:tc>
          <w:tcPr>
            <w:tcW w:w="1558"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省级</w:t>
            </w:r>
          </w:p>
        </w:tc>
        <w:tc>
          <w:tcPr>
            <w:tcW w:w="152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莲华校区</w:t>
            </w: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w:t>
            </w:r>
          </w:p>
        </w:tc>
        <w:tc>
          <w:tcPr>
            <w:tcW w:w="2047" w:type="dxa"/>
            <w:vAlign w:val="center"/>
          </w:tcPr>
          <w:p>
            <w:pPr>
              <w:jc w:val="center"/>
              <w:rPr>
                <w:rFonts w:ascii="宋体" w:hAnsi="宋体" w:eastAsia="宋体" w:cs="宋体"/>
                <w:b/>
                <w:bCs/>
                <w:color w:val="000000"/>
                <w:sz w:val="24"/>
              </w:rPr>
            </w:pPr>
            <w:r>
              <w:rPr>
                <w:rFonts w:hint="eastAsia"/>
                <w:b/>
                <w:bCs/>
                <w:color w:val="000000"/>
              </w:rPr>
              <w:t>材料院</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24"/>
              </w:rPr>
            </w:pPr>
            <w:r>
              <w:rPr>
                <w:rFonts w:hint="eastAsia"/>
                <w:b/>
                <w:bCs/>
                <w:color w:val="000000"/>
              </w:rPr>
              <w:t>156</w:t>
            </w:r>
          </w:p>
        </w:tc>
        <w:tc>
          <w:tcPr>
            <w:tcW w:w="1558" w:type="dxa"/>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8</w:t>
            </w:r>
          </w:p>
        </w:tc>
        <w:tc>
          <w:tcPr>
            <w:tcW w:w="152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2</w:t>
            </w:r>
          </w:p>
        </w:tc>
        <w:tc>
          <w:tcPr>
            <w:tcW w:w="2047" w:type="dxa"/>
            <w:vAlign w:val="center"/>
          </w:tcPr>
          <w:p>
            <w:pPr>
              <w:jc w:val="center"/>
              <w:rPr>
                <w:rFonts w:ascii="宋体" w:hAnsi="宋体" w:eastAsia="宋体" w:cs="宋体"/>
                <w:b/>
                <w:bCs/>
                <w:color w:val="000000"/>
                <w:sz w:val="24"/>
              </w:rPr>
            </w:pPr>
            <w:r>
              <w:rPr>
                <w:rFonts w:hint="eastAsia"/>
                <w:b/>
                <w:bCs/>
                <w:color w:val="000000"/>
              </w:rPr>
              <w:t>冶能院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137</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7</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3</w:t>
            </w:r>
          </w:p>
        </w:tc>
        <w:tc>
          <w:tcPr>
            <w:tcW w:w="2047" w:type="dxa"/>
            <w:vAlign w:val="center"/>
          </w:tcPr>
          <w:p>
            <w:pPr>
              <w:jc w:val="center"/>
              <w:rPr>
                <w:rFonts w:ascii="宋体" w:hAnsi="宋体" w:eastAsia="宋体" w:cs="宋体"/>
                <w:b/>
                <w:bCs/>
                <w:color w:val="000000"/>
                <w:sz w:val="24"/>
              </w:rPr>
            </w:pPr>
            <w:r>
              <w:rPr>
                <w:rFonts w:hint="eastAsia"/>
                <w:b/>
                <w:bCs/>
                <w:color w:val="000000"/>
              </w:rPr>
              <w:t>国资院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236</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12</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4</w:t>
            </w:r>
          </w:p>
        </w:tc>
        <w:tc>
          <w:tcPr>
            <w:tcW w:w="2047" w:type="dxa"/>
            <w:tcBorders>
              <w:bottom w:val="single" w:color="auto" w:sz="4" w:space="0"/>
            </w:tcBorders>
            <w:vAlign w:val="center"/>
          </w:tcPr>
          <w:p>
            <w:pPr>
              <w:jc w:val="center"/>
              <w:rPr>
                <w:rFonts w:ascii="宋体" w:hAnsi="宋体" w:eastAsia="宋体" w:cs="宋体"/>
                <w:b/>
                <w:bCs/>
                <w:color w:val="000000"/>
                <w:sz w:val="24"/>
              </w:rPr>
            </w:pPr>
            <w:r>
              <w:rPr>
                <w:rFonts w:hint="eastAsia"/>
                <w:b/>
                <w:bCs/>
                <w:color w:val="000000"/>
              </w:rPr>
              <w:t>管经院（含MBA）</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275</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14</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5</w:t>
            </w:r>
          </w:p>
        </w:tc>
        <w:tc>
          <w:tcPr>
            <w:tcW w:w="2047" w:type="dxa"/>
            <w:tcBorders>
              <w:top w:val="single" w:color="auto" w:sz="4" w:space="0"/>
              <w:bottom w:val="single" w:color="auto" w:sz="4" w:space="0"/>
              <w:right w:val="single" w:color="auto" w:sz="4" w:space="0"/>
            </w:tcBorders>
            <w:vAlign w:val="center"/>
          </w:tcPr>
          <w:p>
            <w:pPr>
              <w:jc w:val="center"/>
              <w:rPr>
                <w:rFonts w:ascii="宋体" w:hAnsi="宋体" w:eastAsia="宋体" w:cs="宋体"/>
                <w:b/>
                <w:bCs/>
                <w:color w:val="000000"/>
                <w:sz w:val="24"/>
              </w:rPr>
            </w:pPr>
            <w:r>
              <w:rPr>
                <w:rFonts w:hint="eastAsia"/>
                <w:b/>
                <w:bCs/>
                <w:color w:val="000000"/>
              </w:rPr>
              <w:t>知产院</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4</w:t>
            </w:r>
          </w:p>
        </w:tc>
        <w:tc>
          <w:tcPr>
            <w:tcW w:w="155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w:t>
            </w:r>
          </w:p>
        </w:tc>
        <w:tc>
          <w:tcPr>
            <w:tcW w:w="152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6</w:t>
            </w:r>
          </w:p>
        </w:tc>
        <w:tc>
          <w:tcPr>
            <w:tcW w:w="2047" w:type="dxa"/>
            <w:tcBorders>
              <w:top w:val="single" w:color="auto" w:sz="4" w:space="0"/>
            </w:tcBorders>
            <w:vAlign w:val="center"/>
          </w:tcPr>
          <w:p>
            <w:pPr>
              <w:jc w:val="center"/>
              <w:rPr>
                <w:rFonts w:ascii="宋体" w:hAnsi="宋体" w:eastAsia="宋体" w:cs="宋体"/>
                <w:b/>
                <w:bCs/>
                <w:color w:val="000000"/>
                <w:sz w:val="24"/>
              </w:rPr>
            </w:pPr>
            <w:r>
              <w:rPr>
                <w:rFonts w:hint="eastAsia"/>
                <w:b/>
                <w:bCs/>
                <w:color w:val="000000"/>
              </w:rPr>
              <w:t>质量院</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12</w:t>
            </w:r>
          </w:p>
        </w:tc>
        <w:tc>
          <w:tcPr>
            <w:tcW w:w="1558" w:type="dxa"/>
            <w:tcBorders>
              <w:top w:val="single" w:color="auto" w:sz="4" w:space="0"/>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w:t>
            </w:r>
          </w:p>
        </w:tc>
        <w:tc>
          <w:tcPr>
            <w:tcW w:w="1523"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7</w:t>
            </w:r>
          </w:p>
        </w:tc>
        <w:tc>
          <w:tcPr>
            <w:tcW w:w="2047" w:type="dxa"/>
            <w:vAlign w:val="center"/>
          </w:tcPr>
          <w:p>
            <w:pPr>
              <w:jc w:val="center"/>
              <w:rPr>
                <w:rFonts w:ascii="宋体" w:hAnsi="宋体" w:eastAsia="宋体" w:cs="宋体"/>
                <w:b/>
                <w:bCs/>
                <w:color w:val="000000"/>
                <w:sz w:val="24"/>
              </w:rPr>
            </w:pPr>
            <w:r>
              <w:rPr>
                <w:rFonts w:hint="eastAsia"/>
                <w:b/>
                <w:bCs/>
                <w:color w:val="000000"/>
              </w:rPr>
              <w:t>有色国重</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22</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restart"/>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呈贡校区</w:t>
            </w: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w:t>
            </w:r>
          </w:p>
        </w:tc>
        <w:tc>
          <w:tcPr>
            <w:tcW w:w="2047" w:type="dxa"/>
            <w:vAlign w:val="center"/>
          </w:tcPr>
          <w:p>
            <w:pPr>
              <w:jc w:val="center"/>
              <w:rPr>
                <w:rFonts w:ascii="宋体" w:hAnsi="宋体" w:eastAsia="宋体" w:cs="宋体"/>
                <w:b/>
                <w:bCs/>
                <w:color w:val="000000"/>
                <w:sz w:val="24"/>
              </w:rPr>
            </w:pPr>
            <w:r>
              <w:rPr>
                <w:rFonts w:hint="eastAsia"/>
                <w:b/>
                <w:bCs/>
                <w:color w:val="000000"/>
              </w:rPr>
              <w:t>机电院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128</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6</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2</w:t>
            </w:r>
          </w:p>
        </w:tc>
        <w:tc>
          <w:tcPr>
            <w:tcW w:w="2047" w:type="dxa"/>
            <w:vAlign w:val="center"/>
          </w:tcPr>
          <w:p>
            <w:pPr>
              <w:jc w:val="center"/>
              <w:rPr>
                <w:rFonts w:ascii="宋体" w:hAnsi="宋体" w:eastAsia="宋体" w:cs="宋体"/>
                <w:b/>
                <w:bCs/>
                <w:color w:val="000000"/>
                <w:sz w:val="24"/>
              </w:rPr>
            </w:pPr>
            <w:r>
              <w:rPr>
                <w:rFonts w:hint="eastAsia"/>
                <w:b/>
                <w:bCs/>
                <w:color w:val="000000"/>
              </w:rPr>
              <w:t>信自院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290</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15</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3</w:t>
            </w:r>
          </w:p>
        </w:tc>
        <w:tc>
          <w:tcPr>
            <w:tcW w:w="2047" w:type="dxa"/>
            <w:vAlign w:val="center"/>
          </w:tcPr>
          <w:p>
            <w:pPr>
              <w:jc w:val="center"/>
              <w:rPr>
                <w:rFonts w:ascii="宋体" w:hAnsi="宋体" w:eastAsia="宋体" w:cs="宋体"/>
                <w:b/>
                <w:bCs/>
                <w:color w:val="000000"/>
                <w:sz w:val="24"/>
              </w:rPr>
            </w:pPr>
            <w:r>
              <w:rPr>
                <w:rFonts w:hint="eastAsia"/>
                <w:b/>
                <w:bCs/>
                <w:color w:val="000000"/>
              </w:rPr>
              <w:t>建工院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129</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7</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4</w:t>
            </w:r>
          </w:p>
        </w:tc>
        <w:tc>
          <w:tcPr>
            <w:tcW w:w="2047" w:type="dxa"/>
            <w:vAlign w:val="center"/>
          </w:tcPr>
          <w:p>
            <w:pPr>
              <w:jc w:val="center"/>
              <w:rPr>
                <w:rFonts w:ascii="宋体" w:hAnsi="宋体" w:eastAsia="宋体" w:cs="宋体"/>
                <w:b/>
                <w:bCs/>
                <w:color w:val="000000"/>
                <w:sz w:val="24"/>
              </w:rPr>
            </w:pPr>
            <w:r>
              <w:rPr>
                <w:rFonts w:hint="eastAsia"/>
                <w:b/>
                <w:bCs/>
                <w:color w:val="000000"/>
              </w:rPr>
              <w:t>建筑院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75</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4</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5</w:t>
            </w:r>
          </w:p>
        </w:tc>
        <w:tc>
          <w:tcPr>
            <w:tcW w:w="2047" w:type="dxa"/>
            <w:vAlign w:val="center"/>
          </w:tcPr>
          <w:p>
            <w:pPr>
              <w:jc w:val="center"/>
              <w:rPr>
                <w:rFonts w:ascii="宋体" w:hAnsi="宋体" w:eastAsia="宋体" w:cs="宋体"/>
                <w:b/>
                <w:bCs/>
                <w:color w:val="000000"/>
                <w:sz w:val="24"/>
              </w:rPr>
            </w:pPr>
            <w:r>
              <w:rPr>
                <w:rFonts w:hint="eastAsia"/>
                <w:b/>
                <w:bCs/>
                <w:color w:val="000000"/>
              </w:rPr>
              <w:t>环工院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100</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5</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6</w:t>
            </w:r>
          </w:p>
        </w:tc>
        <w:tc>
          <w:tcPr>
            <w:tcW w:w="2047" w:type="dxa"/>
            <w:vAlign w:val="center"/>
          </w:tcPr>
          <w:p>
            <w:pPr>
              <w:jc w:val="center"/>
              <w:rPr>
                <w:rFonts w:ascii="宋体" w:hAnsi="宋体" w:eastAsia="宋体" w:cs="宋体"/>
                <w:b/>
                <w:bCs/>
                <w:color w:val="000000"/>
                <w:sz w:val="24"/>
              </w:rPr>
            </w:pPr>
            <w:r>
              <w:rPr>
                <w:rFonts w:hint="eastAsia"/>
                <w:b/>
                <w:bCs/>
                <w:color w:val="000000"/>
              </w:rPr>
              <w:t>化工院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71</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4</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7</w:t>
            </w:r>
          </w:p>
        </w:tc>
        <w:tc>
          <w:tcPr>
            <w:tcW w:w="2047" w:type="dxa"/>
            <w:vAlign w:val="center"/>
          </w:tcPr>
          <w:p>
            <w:pPr>
              <w:jc w:val="center"/>
              <w:rPr>
                <w:rFonts w:ascii="宋体" w:hAnsi="宋体" w:eastAsia="宋体" w:cs="宋体"/>
                <w:b/>
                <w:bCs/>
                <w:color w:val="000000"/>
                <w:sz w:val="24"/>
              </w:rPr>
            </w:pPr>
            <w:r>
              <w:rPr>
                <w:rFonts w:hint="eastAsia"/>
                <w:b/>
                <w:bCs/>
                <w:color w:val="000000"/>
              </w:rPr>
              <w:t>生科院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102</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5</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8</w:t>
            </w:r>
          </w:p>
        </w:tc>
        <w:tc>
          <w:tcPr>
            <w:tcW w:w="2047" w:type="dxa"/>
            <w:vAlign w:val="center"/>
          </w:tcPr>
          <w:p>
            <w:pPr>
              <w:jc w:val="center"/>
              <w:rPr>
                <w:rFonts w:ascii="宋体" w:hAnsi="宋体" w:eastAsia="宋体" w:cs="宋体"/>
                <w:b/>
                <w:bCs/>
                <w:color w:val="000000"/>
                <w:sz w:val="24"/>
              </w:rPr>
            </w:pPr>
            <w:r>
              <w:rPr>
                <w:rFonts w:hint="eastAsia"/>
                <w:b/>
                <w:bCs/>
                <w:color w:val="000000"/>
              </w:rPr>
              <w:t>电力院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60</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3</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9</w:t>
            </w:r>
          </w:p>
        </w:tc>
        <w:tc>
          <w:tcPr>
            <w:tcW w:w="2047" w:type="dxa"/>
            <w:vAlign w:val="center"/>
          </w:tcPr>
          <w:p>
            <w:pPr>
              <w:jc w:val="center"/>
              <w:rPr>
                <w:rFonts w:ascii="宋体" w:hAnsi="宋体" w:eastAsia="宋体" w:cs="宋体"/>
                <w:b/>
                <w:bCs/>
                <w:color w:val="000000"/>
                <w:sz w:val="24"/>
              </w:rPr>
            </w:pPr>
            <w:r>
              <w:rPr>
                <w:rFonts w:hint="eastAsia"/>
                <w:b/>
                <w:bCs/>
                <w:color w:val="000000"/>
              </w:rPr>
              <w:t>交通院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72</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4</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10</w:t>
            </w:r>
          </w:p>
        </w:tc>
        <w:tc>
          <w:tcPr>
            <w:tcW w:w="2047" w:type="dxa"/>
            <w:vAlign w:val="center"/>
          </w:tcPr>
          <w:p>
            <w:pPr>
              <w:jc w:val="center"/>
              <w:rPr>
                <w:rFonts w:ascii="宋体" w:hAnsi="宋体" w:eastAsia="宋体" w:cs="宋体"/>
                <w:b/>
                <w:bCs/>
                <w:color w:val="000000"/>
                <w:sz w:val="24"/>
              </w:rPr>
            </w:pPr>
            <w:r>
              <w:rPr>
                <w:rFonts w:hint="eastAsia"/>
                <w:b/>
                <w:bCs/>
                <w:color w:val="000000"/>
              </w:rPr>
              <w:t>农工院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40</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2</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11</w:t>
            </w:r>
          </w:p>
        </w:tc>
        <w:tc>
          <w:tcPr>
            <w:tcW w:w="2047" w:type="dxa"/>
            <w:vAlign w:val="center"/>
          </w:tcPr>
          <w:p>
            <w:pPr>
              <w:jc w:val="center"/>
              <w:rPr>
                <w:rFonts w:ascii="宋体" w:hAnsi="宋体" w:eastAsia="宋体" w:cs="宋体"/>
                <w:b/>
                <w:bCs/>
                <w:color w:val="000000"/>
                <w:sz w:val="24"/>
              </w:rPr>
            </w:pPr>
            <w:r>
              <w:rPr>
                <w:rFonts w:hint="eastAsia"/>
                <w:b/>
                <w:bCs/>
                <w:color w:val="000000"/>
              </w:rPr>
              <w:t>法学院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67</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3</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12</w:t>
            </w:r>
          </w:p>
        </w:tc>
        <w:tc>
          <w:tcPr>
            <w:tcW w:w="2047" w:type="dxa"/>
            <w:vAlign w:val="center"/>
          </w:tcPr>
          <w:p>
            <w:pPr>
              <w:jc w:val="center"/>
              <w:rPr>
                <w:rFonts w:ascii="宋体" w:hAnsi="宋体" w:eastAsia="宋体" w:cs="宋体"/>
                <w:b/>
                <w:bCs/>
                <w:color w:val="000000"/>
                <w:sz w:val="24"/>
              </w:rPr>
            </w:pPr>
            <w:r>
              <w:rPr>
                <w:rFonts w:hint="eastAsia"/>
                <w:b/>
                <w:bCs/>
                <w:color w:val="000000"/>
              </w:rPr>
              <w:t>社科院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63</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3</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13</w:t>
            </w:r>
          </w:p>
        </w:tc>
        <w:tc>
          <w:tcPr>
            <w:tcW w:w="2047" w:type="dxa"/>
            <w:vAlign w:val="center"/>
          </w:tcPr>
          <w:p>
            <w:pPr>
              <w:jc w:val="center"/>
              <w:rPr>
                <w:rFonts w:ascii="宋体" w:hAnsi="宋体" w:eastAsia="宋体" w:cs="宋体"/>
                <w:b/>
                <w:bCs/>
                <w:color w:val="000000"/>
                <w:sz w:val="24"/>
              </w:rPr>
            </w:pPr>
            <w:r>
              <w:rPr>
                <w:rFonts w:hint="eastAsia"/>
                <w:b/>
                <w:bCs/>
                <w:color w:val="000000"/>
              </w:rPr>
              <w:t>理学院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68</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4</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14</w:t>
            </w:r>
          </w:p>
        </w:tc>
        <w:tc>
          <w:tcPr>
            <w:tcW w:w="2047" w:type="dxa"/>
            <w:vAlign w:val="center"/>
          </w:tcPr>
          <w:p>
            <w:pPr>
              <w:jc w:val="center"/>
              <w:rPr>
                <w:rFonts w:ascii="宋体" w:hAnsi="宋体" w:eastAsia="宋体" w:cs="宋体"/>
                <w:b/>
                <w:bCs/>
                <w:color w:val="000000"/>
                <w:sz w:val="24"/>
              </w:rPr>
            </w:pPr>
            <w:r>
              <w:rPr>
                <w:rFonts w:hint="eastAsia"/>
                <w:b/>
                <w:bCs/>
                <w:color w:val="000000"/>
              </w:rPr>
              <w:t>艺传院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104</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5</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15</w:t>
            </w:r>
          </w:p>
        </w:tc>
        <w:tc>
          <w:tcPr>
            <w:tcW w:w="2047" w:type="dxa"/>
            <w:vAlign w:val="center"/>
          </w:tcPr>
          <w:p>
            <w:pPr>
              <w:jc w:val="center"/>
              <w:rPr>
                <w:rFonts w:ascii="宋体" w:hAnsi="宋体" w:eastAsia="宋体" w:cs="宋体"/>
                <w:b/>
                <w:bCs/>
                <w:color w:val="000000"/>
                <w:sz w:val="24"/>
              </w:rPr>
            </w:pPr>
            <w:r>
              <w:rPr>
                <w:rFonts w:hint="eastAsia"/>
                <w:b/>
                <w:bCs/>
                <w:color w:val="000000"/>
              </w:rPr>
              <w:t>医学院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52</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3</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16</w:t>
            </w:r>
          </w:p>
        </w:tc>
        <w:tc>
          <w:tcPr>
            <w:tcW w:w="2047" w:type="dxa"/>
            <w:vAlign w:val="center"/>
          </w:tcPr>
          <w:p>
            <w:pPr>
              <w:jc w:val="center"/>
              <w:rPr>
                <w:rFonts w:ascii="宋体" w:hAnsi="宋体" w:eastAsia="宋体" w:cs="宋体"/>
                <w:b/>
                <w:bCs/>
                <w:color w:val="000000"/>
                <w:sz w:val="24"/>
              </w:rPr>
            </w:pPr>
            <w:r>
              <w:rPr>
                <w:rFonts w:hint="eastAsia"/>
                <w:b/>
                <w:bCs/>
                <w:color w:val="000000"/>
              </w:rPr>
              <w:t>外文院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23</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1385" w:type="dxa"/>
            <w:vMerge w:val="continue"/>
            <w:vAlign w:val="center"/>
          </w:tcPr>
          <w:p>
            <w:pPr>
              <w:widowControl/>
              <w:spacing w:line="360" w:lineRule="auto"/>
              <w:jc w:val="left"/>
              <w:rPr>
                <w:rFonts w:ascii="宋体" w:hAnsi="宋体" w:cs="宋体"/>
                <w:b/>
                <w:bCs/>
                <w:color w:val="C00000"/>
                <w:kern w:val="0"/>
                <w:sz w:val="24"/>
              </w:rPr>
            </w:pPr>
          </w:p>
        </w:tc>
        <w:tc>
          <w:tcPr>
            <w:tcW w:w="883" w:type="dxa"/>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17</w:t>
            </w:r>
          </w:p>
        </w:tc>
        <w:tc>
          <w:tcPr>
            <w:tcW w:w="2047" w:type="dxa"/>
            <w:vAlign w:val="center"/>
          </w:tcPr>
          <w:p>
            <w:pPr>
              <w:jc w:val="center"/>
              <w:rPr>
                <w:rFonts w:ascii="宋体" w:hAnsi="宋体" w:eastAsia="宋体" w:cs="宋体"/>
                <w:b/>
                <w:bCs/>
                <w:color w:val="000000"/>
                <w:sz w:val="24"/>
              </w:rPr>
            </w:pPr>
            <w:r>
              <w:rPr>
                <w:rFonts w:hint="eastAsia"/>
                <w:b/>
                <w:bCs/>
                <w:color w:val="000000"/>
              </w:rPr>
              <w:t>食安院</w:t>
            </w:r>
          </w:p>
        </w:tc>
        <w:tc>
          <w:tcPr>
            <w:tcW w:w="2126" w:type="dxa"/>
            <w:tcBorders>
              <w:top w:val="nil"/>
              <w:left w:val="single" w:color="auto" w:sz="4" w:space="0"/>
              <w:bottom w:val="single" w:color="auto" w:sz="4" w:space="0"/>
              <w:right w:val="single" w:color="auto" w:sz="4" w:space="0"/>
            </w:tcBorders>
            <w:shd w:val="clear" w:color="auto" w:fill="auto"/>
            <w:vAlign w:val="center"/>
          </w:tcPr>
          <w:p>
            <w:pPr>
              <w:jc w:val="center"/>
              <w:rPr>
                <w:b/>
                <w:bCs/>
                <w:color w:val="000000"/>
              </w:rPr>
            </w:pPr>
            <w:r>
              <w:rPr>
                <w:rFonts w:hint="eastAsia"/>
                <w:b/>
                <w:bCs/>
                <w:color w:val="000000"/>
              </w:rPr>
              <w:t>22</w:t>
            </w:r>
          </w:p>
        </w:tc>
        <w:tc>
          <w:tcPr>
            <w:tcW w:w="1558" w:type="dxa"/>
            <w:tcBorders>
              <w:top w:val="nil"/>
              <w:left w:val="nil"/>
              <w:bottom w:val="single" w:color="auto" w:sz="4" w:space="0"/>
              <w:right w:val="single" w:color="auto" w:sz="4" w:space="0"/>
            </w:tcBorders>
            <w:shd w:val="clear" w:color="auto" w:fill="auto"/>
            <w:vAlign w:val="center"/>
          </w:tcPr>
          <w:p>
            <w:pPr>
              <w:jc w:val="center"/>
              <w:rPr>
                <w:rFonts w:ascii="Calibri" w:hAnsi="Calibri" w:cs="Calibri"/>
                <w:b/>
                <w:bCs/>
                <w:color w:val="000000"/>
                <w:szCs w:val="21"/>
              </w:rPr>
            </w:pPr>
            <w:r>
              <w:rPr>
                <w:rFonts w:ascii="Calibri" w:hAnsi="Calibri" w:cs="Calibri"/>
                <w:b/>
                <w:bCs/>
                <w:color w:val="000000"/>
                <w:szCs w:val="21"/>
              </w:rPr>
              <w:t>1</w:t>
            </w:r>
          </w:p>
        </w:tc>
        <w:tc>
          <w:tcPr>
            <w:tcW w:w="15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b/>
                <w:bCs/>
                <w:color w:val="000000"/>
                <w:sz w:val="24"/>
              </w:rPr>
            </w:pPr>
            <w:r>
              <w:rPr>
                <w:rFonts w:hint="eastAsia"/>
                <w:b/>
                <w:bCs/>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4315" w:type="dxa"/>
            <w:gridSpan w:val="3"/>
            <w:vAlign w:val="center"/>
          </w:tcPr>
          <w:p>
            <w:pPr>
              <w:widowControl/>
              <w:spacing w:line="360" w:lineRule="auto"/>
              <w:jc w:val="center"/>
              <w:rPr>
                <w:rFonts w:ascii="宋体" w:hAnsi="宋体" w:cs="宋体"/>
                <w:b/>
                <w:bCs/>
                <w:kern w:val="0"/>
                <w:sz w:val="24"/>
              </w:rPr>
            </w:pPr>
            <w:r>
              <w:rPr>
                <w:rFonts w:hint="eastAsia" w:ascii="宋体" w:hAnsi="宋体" w:cs="宋体"/>
                <w:b/>
                <w:bCs/>
                <w:kern w:val="0"/>
                <w:sz w:val="24"/>
              </w:rPr>
              <w:t>总计</w:t>
            </w:r>
          </w:p>
        </w:tc>
        <w:tc>
          <w:tcPr>
            <w:tcW w:w="2126" w:type="dxa"/>
            <w:vAlign w:val="center"/>
          </w:tcPr>
          <w:p>
            <w:pPr>
              <w:jc w:val="center"/>
              <w:rPr>
                <w:rFonts w:ascii="宋体" w:hAnsi="宋体" w:eastAsia="宋体" w:cs="宋体"/>
                <w:b/>
                <w:bCs/>
                <w:color w:val="000000"/>
                <w:sz w:val="24"/>
              </w:rPr>
            </w:pPr>
            <w:r>
              <w:rPr>
                <w:b/>
                <w:bCs/>
                <w:color w:val="000000"/>
              </w:rPr>
              <w:t>2308</w:t>
            </w:r>
          </w:p>
        </w:tc>
        <w:tc>
          <w:tcPr>
            <w:tcW w:w="1558" w:type="dxa"/>
            <w:vAlign w:val="center"/>
          </w:tcPr>
          <w:p>
            <w:pPr>
              <w:jc w:val="center"/>
              <w:rPr>
                <w:rFonts w:ascii="Calibri" w:hAnsi="Calibri" w:eastAsia="宋体" w:cs="Calibri"/>
                <w:b/>
                <w:bCs/>
                <w:color w:val="000000"/>
                <w:szCs w:val="21"/>
              </w:rPr>
            </w:pPr>
            <w:r>
              <w:rPr>
                <w:rFonts w:ascii="Calibri" w:hAnsi="Calibri" w:cs="Calibri"/>
                <w:b/>
                <w:bCs/>
                <w:color w:val="000000"/>
                <w:szCs w:val="21"/>
              </w:rPr>
              <w:t>119</w:t>
            </w:r>
          </w:p>
        </w:tc>
        <w:tc>
          <w:tcPr>
            <w:tcW w:w="1523" w:type="dxa"/>
            <w:vAlign w:val="center"/>
          </w:tcPr>
          <w:p>
            <w:pPr>
              <w:jc w:val="center"/>
              <w:rPr>
                <w:rFonts w:ascii="宋体" w:hAnsi="宋体" w:eastAsia="宋体" w:cs="宋体"/>
                <w:b/>
                <w:bCs/>
                <w:color w:val="000000"/>
                <w:sz w:val="24"/>
              </w:rPr>
            </w:pPr>
            <w:r>
              <w:rPr>
                <w:b/>
                <w:bCs/>
                <w:color w:val="000000"/>
              </w:rPr>
              <w:t>119</w:t>
            </w:r>
          </w:p>
        </w:tc>
      </w:tr>
    </w:tbl>
    <w:p>
      <w:pPr>
        <w:spacing w:line="360" w:lineRule="auto"/>
        <w:ind w:firstLine="562" w:firstLineChars="200"/>
        <w:rPr>
          <w:rFonts w:ascii="仿宋_GB2312" w:hAnsi="仿宋_GB2312" w:eastAsia="仿宋_GB2312"/>
          <w:b/>
          <w:sz w:val="28"/>
          <w:szCs w:val="28"/>
        </w:rPr>
      </w:pPr>
      <w:r>
        <w:rPr>
          <w:rFonts w:hint="eastAsia" w:ascii="仿宋_GB2312" w:hAnsi="仿宋_GB2312" w:eastAsia="仿宋_GB2312"/>
          <w:b/>
          <w:sz w:val="28"/>
          <w:szCs w:val="28"/>
        </w:rPr>
        <w:t>三、其他事项</w:t>
      </w:r>
    </w:p>
    <w:p>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登记表中班主任签名处由研究生辅导员签字并加盖学院公章，院系意见栏由研究生</w:t>
      </w:r>
      <w:r>
        <w:rPr>
          <w:rFonts w:hint="eastAsia" w:ascii="仿宋_GB2312" w:hAnsi="仿宋_GB2312" w:eastAsia="仿宋_GB2312"/>
          <w:sz w:val="28"/>
          <w:szCs w:val="28"/>
          <w:lang w:eastAsia="zh-CN"/>
        </w:rPr>
        <w:t>院党委</w:t>
      </w:r>
      <w:r>
        <w:rPr>
          <w:rFonts w:hint="eastAsia" w:ascii="仿宋_GB2312" w:hAnsi="仿宋_GB2312" w:eastAsia="仿宋_GB2312"/>
          <w:sz w:val="28"/>
          <w:szCs w:val="28"/>
        </w:rPr>
        <w:t>统一签章（一式两份），填报过程中如有疑问请与研究生</w:t>
      </w:r>
      <w:r>
        <w:rPr>
          <w:rFonts w:hint="eastAsia" w:ascii="仿宋_GB2312" w:eastAsia="仿宋_GB2312"/>
          <w:sz w:val="28"/>
          <w:szCs w:val="28"/>
        </w:rPr>
        <w:t>工作办公室</w:t>
      </w:r>
      <w:r>
        <w:rPr>
          <w:rFonts w:hint="eastAsia" w:ascii="仿宋_GB2312" w:hAnsi="仿宋_GB2312" w:eastAsia="仿宋_GB2312"/>
          <w:sz w:val="28"/>
          <w:szCs w:val="28"/>
        </w:rPr>
        <w:t>联系。</w:t>
      </w:r>
    </w:p>
    <w:p>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联系电话：0871-65144174（莲华）/0871-65915648(呈贡)</w:t>
      </w:r>
    </w:p>
    <w:p>
      <w:pPr>
        <w:spacing w:line="360" w:lineRule="auto"/>
        <w:ind w:firstLine="560" w:firstLineChars="200"/>
        <w:rPr>
          <w:rFonts w:ascii="仿宋_GB2312" w:hAnsi="仿宋_GB2312" w:eastAsia="仿宋_GB2312"/>
          <w:sz w:val="28"/>
          <w:szCs w:val="28"/>
        </w:rPr>
      </w:pPr>
    </w:p>
    <w:p>
      <w:pPr>
        <w:spacing w:line="520" w:lineRule="exact"/>
        <w:ind w:firstLine="560" w:firstLineChars="200"/>
        <w:rPr>
          <w:rFonts w:ascii="仿宋_GB2312" w:hAnsi="仿宋_GB2312" w:eastAsia="仿宋_GB2312"/>
          <w:sz w:val="28"/>
          <w:szCs w:val="28"/>
        </w:rPr>
      </w:pPr>
      <w:r>
        <w:rPr>
          <w:rFonts w:hint="eastAsia" w:ascii="仿宋_GB2312" w:hAnsi="仿宋_GB2312" w:eastAsia="仿宋_GB2312"/>
          <w:sz w:val="28"/>
          <w:szCs w:val="28"/>
        </w:rPr>
        <w:t>附件：1.云南省2018年普通大中专学校优秀毕业登记表</w:t>
      </w:r>
    </w:p>
    <w:p>
      <w:pPr>
        <w:spacing w:line="520" w:lineRule="exact"/>
        <w:ind w:left="1400" w:hanging="1400" w:hangingChars="500"/>
        <w:rPr>
          <w:rFonts w:ascii="仿宋_GB2312" w:hAnsi="仿宋_GB2312" w:eastAsia="仿宋_GB2312"/>
          <w:sz w:val="28"/>
          <w:szCs w:val="28"/>
        </w:rPr>
      </w:pPr>
      <w:r>
        <w:rPr>
          <w:rFonts w:hint="eastAsia" w:ascii="仿宋_GB2312" w:hAnsi="仿宋_GB2312" w:eastAsia="仿宋_GB2312"/>
          <w:sz w:val="28"/>
          <w:szCs w:val="28"/>
        </w:rPr>
        <w:t xml:space="preserve">          2.昆明理工大学2018年优秀毕业生登记表</w:t>
      </w:r>
    </w:p>
    <w:p>
      <w:pPr>
        <w:spacing w:line="520" w:lineRule="exact"/>
        <w:ind w:firstLine="1260" w:firstLineChars="450"/>
        <w:rPr>
          <w:rFonts w:ascii="仿宋_GB2312" w:hAnsi="仿宋_GB2312" w:eastAsia="仿宋_GB2312"/>
          <w:sz w:val="28"/>
          <w:szCs w:val="28"/>
        </w:rPr>
      </w:pPr>
      <w:r>
        <w:rPr>
          <w:rFonts w:hint="eastAsia" w:ascii="仿宋_GB2312" w:hAnsi="仿宋_GB2312" w:eastAsia="仿宋_GB2312"/>
          <w:sz w:val="28"/>
          <w:szCs w:val="28"/>
        </w:rPr>
        <w:t xml:space="preserve"> 3.昆明理工大学2018年优秀省级毕业生名册</w:t>
      </w:r>
    </w:p>
    <w:p>
      <w:pPr>
        <w:spacing w:line="520" w:lineRule="exact"/>
        <w:ind w:firstLine="1400" w:firstLineChars="500"/>
        <w:rPr>
          <w:rFonts w:ascii="仿宋_GB2312" w:hAnsi="仿宋_GB2312" w:eastAsia="仿宋_GB2312"/>
          <w:sz w:val="28"/>
          <w:szCs w:val="28"/>
        </w:rPr>
      </w:pPr>
      <w:r>
        <w:rPr>
          <w:rFonts w:hint="eastAsia" w:ascii="仿宋_GB2312" w:hAnsi="仿宋_GB2312" w:eastAsia="仿宋_GB2312"/>
          <w:sz w:val="28"/>
          <w:szCs w:val="28"/>
        </w:rPr>
        <w:t>4.昆明理工大学2018年优秀校级毕业生名册</w:t>
      </w:r>
    </w:p>
    <w:p>
      <w:pPr>
        <w:spacing w:line="520" w:lineRule="exact"/>
        <w:rPr>
          <w:rFonts w:ascii="仿宋_GB2312" w:eastAsia="仿宋_GB2312" w:cs="Arial"/>
          <w:sz w:val="28"/>
          <w:szCs w:val="28"/>
        </w:rPr>
      </w:pPr>
    </w:p>
    <w:p>
      <w:pPr>
        <w:spacing w:line="360" w:lineRule="auto"/>
        <w:ind w:left="300" w:right="580" w:firstLine="560" w:firstLineChars="200"/>
        <w:jc w:val="right"/>
        <w:rPr>
          <w:rFonts w:ascii="仿宋_GB2312" w:eastAsia="仿宋_GB2312" w:cs="Arial"/>
          <w:sz w:val="28"/>
          <w:szCs w:val="28"/>
        </w:rPr>
      </w:pPr>
    </w:p>
    <w:p>
      <w:pPr>
        <w:spacing w:line="360" w:lineRule="auto"/>
        <w:ind w:left="300" w:right="580" w:firstLine="560" w:firstLineChars="200"/>
        <w:jc w:val="right"/>
        <w:rPr>
          <w:rFonts w:ascii="仿宋_GB2312" w:eastAsia="仿宋_GB2312" w:cs="Arial"/>
          <w:sz w:val="28"/>
          <w:szCs w:val="28"/>
        </w:rPr>
      </w:pPr>
      <w:r>
        <w:rPr>
          <w:rFonts w:hint="eastAsia" w:ascii="仿宋_GB2312" w:eastAsia="仿宋_GB2312" w:cs="Arial"/>
          <w:sz w:val="28"/>
          <w:szCs w:val="28"/>
        </w:rPr>
        <w:t>昆明理工大学研究生</w:t>
      </w:r>
      <w:r>
        <w:rPr>
          <w:rFonts w:hint="eastAsia" w:ascii="仿宋_GB2312" w:eastAsia="仿宋_GB2312" w:cs="Arial"/>
          <w:sz w:val="28"/>
          <w:szCs w:val="28"/>
          <w:lang w:eastAsia="zh-CN"/>
        </w:rPr>
        <w:t>院党委</w:t>
      </w:r>
      <w:bookmarkStart w:id="0" w:name="_GoBack"/>
      <w:bookmarkEnd w:id="0"/>
    </w:p>
    <w:p>
      <w:pPr>
        <w:spacing w:line="360" w:lineRule="auto"/>
        <w:ind w:left="300" w:right="580" w:firstLine="560" w:firstLineChars="200"/>
        <w:jc w:val="center"/>
        <w:rPr>
          <w:rFonts w:ascii="仿宋_GB2312" w:eastAsia="仿宋_GB2312" w:cs="Arial"/>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2018</w:t>
      </w:r>
      <w:r>
        <w:rPr>
          <w:rFonts w:hint="eastAsia" w:ascii="仿宋_GB2312" w:eastAsia="仿宋_GB2312" w:cs="Arial"/>
          <w:sz w:val="28"/>
          <w:szCs w:val="28"/>
        </w:rPr>
        <w:t>年3月26日</w:t>
      </w:r>
    </w:p>
    <w:p>
      <w:pPr>
        <w:rPr>
          <w:rFonts w:ascii="仿宋_GB2312" w:eastAsia="仿宋_GB2312"/>
          <w:b/>
          <w:sz w:val="36"/>
          <w:szCs w:val="36"/>
        </w:rPr>
      </w:pPr>
    </w:p>
    <w:p/>
    <w:sectPr>
      <w:footerReference r:id="rId3" w:type="default"/>
      <w:footerReference r:id="rId4" w:type="even"/>
      <w:pgSz w:w="11906" w:h="16838"/>
      <w:pgMar w:top="1440" w:right="1418" w:bottom="1440"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- 4 -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F96461"/>
    <w:rsid w:val="00173FA8"/>
    <w:rsid w:val="00192533"/>
    <w:rsid w:val="001F7321"/>
    <w:rsid w:val="002468FC"/>
    <w:rsid w:val="00247E1F"/>
    <w:rsid w:val="002C1341"/>
    <w:rsid w:val="002E114C"/>
    <w:rsid w:val="00316754"/>
    <w:rsid w:val="00344BC4"/>
    <w:rsid w:val="00395175"/>
    <w:rsid w:val="003C52A8"/>
    <w:rsid w:val="003D072D"/>
    <w:rsid w:val="004316FD"/>
    <w:rsid w:val="005529DB"/>
    <w:rsid w:val="00671578"/>
    <w:rsid w:val="006E556B"/>
    <w:rsid w:val="0078787B"/>
    <w:rsid w:val="007E5331"/>
    <w:rsid w:val="00873371"/>
    <w:rsid w:val="008C6C56"/>
    <w:rsid w:val="008D31B0"/>
    <w:rsid w:val="00951E48"/>
    <w:rsid w:val="00954008"/>
    <w:rsid w:val="00961A7F"/>
    <w:rsid w:val="009A41B2"/>
    <w:rsid w:val="009B49EB"/>
    <w:rsid w:val="009C37D1"/>
    <w:rsid w:val="009D4466"/>
    <w:rsid w:val="009E318F"/>
    <w:rsid w:val="00A051AC"/>
    <w:rsid w:val="00A06289"/>
    <w:rsid w:val="00A1199D"/>
    <w:rsid w:val="00A637F3"/>
    <w:rsid w:val="00AA7D7F"/>
    <w:rsid w:val="00AD7CB0"/>
    <w:rsid w:val="00B36694"/>
    <w:rsid w:val="00B46ED0"/>
    <w:rsid w:val="00B65D60"/>
    <w:rsid w:val="00BF4DFF"/>
    <w:rsid w:val="00BF64DD"/>
    <w:rsid w:val="00C3234A"/>
    <w:rsid w:val="00C665C9"/>
    <w:rsid w:val="00C87242"/>
    <w:rsid w:val="00CA677E"/>
    <w:rsid w:val="00D612F9"/>
    <w:rsid w:val="00DC7011"/>
    <w:rsid w:val="00E12549"/>
    <w:rsid w:val="00E26DE5"/>
    <w:rsid w:val="00E41347"/>
    <w:rsid w:val="00E533F6"/>
    <w:rsid w:val="00EB3929"/>
    <w:rsid w:val="00EE0632"/>
    <w:rsid w:val="00FB1F46"/>
    <w:rsid w:val="00FB2DBE"/>
    <w:rsid w:val="02E01E25"/>
    <w:rsid w:val="066D1113"/>
    <w:rsid w:val="08C51E82"/>
    <w:rsid w:val="0C0C7871"/>
    <w:rsid w:val="14991972"/>
    <w:rsid w:val="15AD3953"/>
    <w:rsid w:val="178573F0"/>
    <w:rsid w:val="1D9F56AF"/>
    <w:rsid w:val="25F96461"/>
    <w:rsid w:val="2F59775E"/>
    <w:rsid w:val="35952C09"/>
    <w:rsid w:val="394325A4"/>
    <w:rsid w:val="3ABA18D5"/>
    <w:rsid w:val="3B607C1A"/>
    <w:rsid w:val="40203926"/>
    <w:rsid w:val="43B86855"/>
    <w:rsid w:val="50805FBD"/>
    <w:rsid w:val="5D2E0344"/>
    <w:rsid w:val="63724BCF"/>
    <w:rsid w:val="6C8D33BB"/>
    <w:rsid w:val="6F191CF3"/>
    <w:rsid w:val="76F429DA"/>
    <w:rsid w:val="79EE302B"/>
    <w:rsid w:val="7C2F6EDA"/>
    <w:rsid w:val="7CA82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paragraph" w:customStyle="1" w:styleId="7">
    <w:name w:val="p0"/>
    <w:basedOn w:val="1"/>
    <w:qFormat/>
    <w:uiPriority w:val="0"/>
    <w:pPr>
      <w:widowControl/>
    </w:pPr>
    <w:rPr>
      <w:kern w:val="0"/>
      <w:szCs w:val="21"/>
    </w:rPr>
  </w:style>
  <w:style w:type="character" w:customStyle="1" w:styleId="8">
    <w:name w:val="页眉 字符"/>
    <w:basedOn w:val="4"/>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291</Words>
  <Characters>1663</Characters>
  <Lines>13</Lines>
  <Paragraphs>3</Paragraphs>
  <ScaleCrop>false</ScaleCrop>
  <LinksUpToDate>false</LinksUpToDate>
  <CharactersWithSpaces>1951</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2016-03-25T08:12:00Z</dcterms:created>
  <dc:creator>Administrator</dc:creator>
  <cp:lastModifiedBy>马宁</cp:lastModifiedBy>
  <dcterms:modified xsi:type="dcterms:W3CDTF">2018-03-26T03:52:38Z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